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287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31"/>
        <w:gridCol w:w="3225"/>
        <w:gridCol w:w="3031"/>
      </w:tblGrid>
      <w:tr>
        <w:trPr/>
        <w:tc>
          <w:tcPr>
            <w:tcW w:w="3031" w:type="dxa"/>
            <w:tcBorders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3225" w:type="dxa"/>
            <w:tcBorders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b/>
                <w:sz w:val="40"/>
                <w:lang w:val="ru-RU" w:eastAsia="ru-RU"/>
              </w:rPr>
            </w:pPr>
            <w:r>
              <w:rPr>
                <w:b/>
                <w:sz w:val="40"/>
                <w:lang w:val="ru-RU" w:eastAsia="ru-RU"/>
              </w:rPr>
              <w:drawing>
                <wp:inline distT="0" distB="0" distL="0" distR="0">
                  <wp:extent cx="567690" cy="43434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69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80808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1" w:type="dxa"/>
            <w:tcBorders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</w:r>
          </w:p>
        </w:tc>
      </w:tr>
      <w:tr>
        <w:trPr/>
        <w:tc>
          <w:tcPr>
            <w:tcW w:w="9287" w:type="dxa"/>
            <w:gridSpan w:val="3"/>
            <w:tcBorders/>
          </w:tcPr>
          <w:p>
            <w:pPr>
              <w:pStyle w:val="Normal"/>
              <w:snapToGrid w:val="false"/>
              <w:spacing w:lineRule="auto" w:line="276"/>
              <w:jc w:val="center"/>
              <w:rPr/>
            </w:pPr>
            <w:r>
              <w:rPr>
                <w:b/>
                <w:spacing w:val="-20"/>
                <w:sz w:val="28"/>
                <w:szCs w:val="28"/>
              </w:rPr>
              <w:t xml:space="preserve"> </w:t>
            </w:r>
            <w:r>
              <w:rPr>
                <w:b/>
                <w:spacing w:val="-20"/>
                <w:sz w:val="28"/>
                <w:szCs w:val="28"/>
              </w:rPr>
              <w:t>АДМИНИСТРАЦИЯ САВИНСКОГО  МУНИЦИПАЛЬНОГО  РАЙОНА</w:t>
            </w:r>
          </w:p>
          <w:p>
            <w:pPr>
              <w:pStyle w:val="Normal"/>
              <w:spacing w:lineRule="auto" w:line="2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ИВАНОВСКОЙ  ОБЛАСТИ</w:t>
            </w:r>
          </w:p>
          <w:p>
            <w:pPr>
              <w:pStyle w:val="Normal"/>
              <w:spacing w:lineRule="auto" w:line="2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kern w:val="0"/>
          <w:sz w:val="36"/>
          <w:szCs w:val="36"/>
          <w:lang w:eastAsia="ru-RU"/>
        </w:rPr>
      </w:r>
    </w:p>
    <w:p>
      <w:pPr>
        <w:pStyle w:val="Normal"/>
        <w:jc w:val="center"/>
        <w:rPr>
          <w:rFonts w:eastAsia="Times New Roman" w:cs="Times New Roman"/>
          <w:b/>
          <w:bCs/>
          <w:kern w:val="0"/>
          <w:szCs w:val="28"/>
          <w:lang w:eastAsia="ru-RU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</w:rPr>
        <w:t>ПОСТАНОВЛЕНИЕ</w:t>
      </w:r>
    </w:p>
    <w:p>
      <w:pPr>
        <w:pStyle w:val="Normal"/>
        <w:spacing w:lineRule="auto" w:line="276"/>
        <w:jc w:val="center"/>
        <w:rPr>
          <w:rFonts w:eastAsia="Times New Roman" w:cs="Times New Roman"/>
          <w:kern w:val="0"/>
          <w:szCs w:val="28"/>
          <w:lang w:eastAsia="ru-RU"/>
        </w:rPr>
      </w:pPr>
      <w:r>
        <w:rPr>
          <w:rFonts w:eastAsia="Times New Roman" w:cs="Times New Roman"/>
          <w:kern w:val="0"/>
          <w:szCs w:val="28"/>
          <w:lang w:eastAsia="ru-RU"/>
        </w:rPr>
      </w:r>
    </w:p>
    <w:p>
      <w:pPr>
        <w:pStyle w:val="Normal"/>
        <w:spacing w:lineRule="auto" w:line="276"/>
        <w:jc w:val="center"/>
        <w:rPr>
          <w:b/>
          <w:bCs/>
        </w:rPr>
      </w:pPr>
      <w:bookmarkStart w:id="0" w:name="_Hlk185432476"/>
      <w:r>
        <w:rPr>
          <w:rFonts w:eastAsia="Times New Roman" w:cs="Times New Roman"/>
          <w:b/>
          <w:bCs/>
          <w:kern w:val="0"/>
          <w:szCs w:val="28"/>
          <w:lang w:eastAsia="ru-RU"/>
        </w:rPr>
        <w:t xml:space="preserve">от </w:t>
      </w:r>
      <w:r>
        <w:rPr>
          <w:rFonts w:eastAsia="Times New Roman" w:cs="Times New Roman"/>
          <w:b/>
          <w:bCs/>
          <w:kern w:val="0"/>
          <w:szCs w:val="28"/>
          <w:lang w:eastAsia="ru-RU"/>
        </w:rPr>
        <w:t>18</w:t>
      </w:r>
      <w:r>
        <w:rPr>
          <w:rFonts w:eastAsia="Times New Roman" w:cs="Times New Roman"/>
          <w:b/>
          <w:bCs/>
          <w:kern w:val="0"/>
          <w:szCs w:val="28"/>
          <w:lang w:eastAsia="ru-RU"/>
        </w:rPr>
        <w:t>.0</w:t>
      </w:r>
      <w:r>
        <w:rPr>
          <w:rFonts w:eastAsia="Times New Roman" w:cs="Times New Roman"/>
          <w:b/>
          <w:bCs/>
          <w:kern w:val="0"/>
          <w:szCs w:val="28"/>
          <w:lang w:eastAsia="ru-RU"/>
        </w:rPr>
        <w:t>2</w:t>
      </w:r>
      <w:r>
        <w:rPr>
          <w:rFonts w:eastAsia="Times New Roman" w:cs="Times New Roman"/>
          <w:b/>
          <w:bCs/>
          <w:kern w:val="0"/>
          <w:szCs w:val="28"/>
          <w:lang w:eastAsia="ru-RU"/>
        </w:rPr>
        <w:t xml:space="preserve">.2026 </w:t>
      </w:r>
      <w:r>
        <w:rPr>
          <w:rFonts w:eastAsia="Times New Roman" w:cs="Times New Roman"/>
          <w:b/>
          <w:bCs/>
          <w:kern w:val="0"/>
          <w:szCs w:val="28"/>
        </w:rPr>
        <w:t xml:space="preserve">№ </w:t>
      </w:r>
      <w:r>
        <w:rPr>
          <w:rFonts w:eastAsia="Times New Roman" w:cs="Times New Roman"/>
          <w:b/>
          <w:bCs/>
          <w:kern w:val="0"/>
          <w:szCs w:val="28"/>
        </w:rPr>
        <w:t>87-1</w:t>
      </w:r>
      <w:r>
        <w:rPr>
          <w:rFonts w:eastAsia="Times New Roman" w:cs="Times New Roman"/>
          <w:b/>
          <w:bCs/>
          <w:kern w:val="0"/>
          <w:szCs w:val="28"/>
        </w:rPr>
        <w:t>-п</w:t>
      </w:r>
      <w:bookmarkEnd w:id="0"/>
    </w:p>
    <w:p>
      <w:pPr>
        <w:pStyle w:val="Normal"/>
        <w:jc w:val="center"/>
        <w:rPr>
          <w:b/>
          <w:sz w:val="28"/>
          <w:szCs w:val="28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/>
        </w:rPr>
        <w:t>п. Савино</w:t>
      </w:r>
    </w:p>
    <w:p>
      <w:pPr>
        <w:pStyle w:val="Normal"/>
        <w:jc w:val="center"/>
        <w:rPr>
          <w:rFonts w:eastAsia="Times New Roman" w:cs="Times New Roman"/>
          <w:b/>
          <w:bCs/>
          <w:kern w:val="0"/>
          <w:sz w:val="16"/>
          <w:szCs w:val="16"/>
          <w:lang w:eastAsia="ru-RU"/>
        </w:rPr>
      </w:pPr>
      <w:r>
        <w:rPr>
          <w:rFonts w:eastAsia="Times New Roman" w:cs="Times New Roman"/>
          <w:b/>
          <w:bCs/>
          <w:kern w:val="0"/>
          <w:sz w:val="16"/>
          <w:szCs w:val="16"/>
          <w:lang w:eastAsia="ru-RU"/>
        </w:rPr>
      </w:r>
    </w:p>
    <w:p>
      <w:pPr>
        <w:pStyle w:val="Normal"/>
        <w:jc w:val="center"/>
        <w:rPr>
          <w:rFonts w:eastAsia="Times New Roman" w:cs="Times New Roman"/>
          <w:b/>
          <w:bCs/>
          <w:kern w:val="0"/>
          <w:sz w:val="16"/>
          <w:szCs w:val="16"/>
          <w:lang w:eastAsia="ru-RU"/>
        </w:rPr>
      </w:pPr>
      <w:r>
        <w:rPr>
          <w:rFonts w:eastAsia="Times New Roman" w:cs="Times New Roman"/>
          <w:b/>
          <w:bCs/>
          <w:kern w:val="0"/>
          <w:sz w:val="16"/>
          <w:szCs w:val="16"/>
          <w:lang w:eastAsia="ru-RU"/>
        </w:rPr>
      </w:r>
    </w:p>
    <w:p>
      <w:pPr>
        <w:pStyle w:val="Normal"/>
        <w:ind w:firstLine="567"/>
        <w:jc w:val="center"/>
        <w:rPr>
          <w:rFonts w:eastAsia="Times New Roman" w:cs="Times New Roman"/>
          <w:b/>
          <w:bCs/>
          <w:kern w:val="0"/>
          <w:szCs w:val="28"/>
          <w:lang w:eastAsia="ru-RU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</w:rPr>
        <w:t xml:space="preserve">Об утверждении Плана основных мероприятий по реализации Стратегии государственной национальной политики Российской Федерации на период до 2036 года в 2026–2028 годах на территории </w:t>
      </w:r>
      <w:r>
        <w:rPr>
          <w:rFonts w:eastAsia="Times New Roman" w:cs="Times New Roman"/>
          <w:b/>
          <w:bCs/>
          <w:kern w:val="0"/>
          <w:szCs w:val="28"/>
          <w:lang w:eastAsia="ru-RU"/>
        </w:rPr>
        <w:t>Савинского</w:t>
      </w:r>
      <w:bookmarkStart w:id="1" w:name="_Hlk225953880"/>
      <w:r>
        <w:rPr>
          <w:rFonts w:eastAsia="Times New Roman" w:cs="Times New Roman"/>
          <w:b/>
          <w:bCs/>
          <w:kern w:val="0"/>
          <w:szCs w:val="28"/>
          <w:lang w:eastAsia="ru-RU"/>
        </w:rPr>
        <w:t xml:space="preserve"> муниципального района </w:t>
      </w:r>
      <w:bookmarkEnd w:id="1"/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>
        <w:rPr/>
        <w:t xml:space="preserve">В соответствии с Указом Президента Российской Федерации от 25.11.2025 № 858 «О стратегии государственной национальной политики Российской Федерации на период до 2036 года»», </w:t>
      </w:r>
      <w:r>
        <w:rPr/>
        <w:t>а</w:t>
      </w:r>
      <w:r>
        <w:rPr>
          <w:rFonts w:eastAsia="Times New Roman" w:cs="Times New Roman"/>
          <w:color w:val="000000"/>
          <w:kern w:val="0"/>
          <w:szCs w:val="28"/>
          <w:lang w:eastAsia="ru-RU"/>
        </w:rPr>
        <w:t xml:space="preserve">дминистрация </w:t>
      </w:r>
      <w:r>
        <w:rPr>
          <w:rFonts w:eastAsia="Times New Roman" w:cs="Times New Roman"/>
          <w:color w:val="000000"/>
          <w:kern w:val="0"/>
          <w:szCs w:val="28"/>
          <w:lang w:eastAsia="ru-RU"/>
        </w:rPr>
        <w:t>Савинского</w:t>
      </w:r>
      <w:r>
        <w:rPr>
          <w:rFonts w:eastAsia="Times New Roman" w:cs="Times New Roman"/>
          <w:color w:val="000000"/>
          <w:kern w:val="0"/>
          <w:szCs w:val="28"/>
          <w:lang w:eastAsia="ru-RU"/>
        </w:rPr>
        <w:t xml:space="preserve"> муниципального района </w:t>
      </w:r>
      <w:r>
        <w:rPr>
          <w:rFonts w:eastAsia="Times New Roman" w:cs="Times New Roman"/>
          <w:b/>
          <w:color w:val="000000"/>
          <w:kern w:val="0"/>
          <w:szCs w:val="28"/>
          <w:lang w:eastAsia="ru-RU"/>
        </w:rPr>
        <w:t>постановляет: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Утвердить План основных мероприятий по реализации Стратегии государственной национальной политики Российской Федерации на период до 2036 года в 2026–2028 годах на территории </w:t>
      </w:r>
      <w:r>
        <w:rPr>
          <w:rFonts w:ascii="Times New Roman" w:hAnsi="Times New Roman"/>
          <w:sz w:val="28"/>
          <w:szCs w:val="28"/>
          <w:lang w:eastAsia="ru-RU"/>
        </w:rPr>
        <w:t>Савинского</w:t>
      </w:r>
      <w:bookmarkStart w:id="2" w:name="_Hlk225954120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bookmarkEnd w:id="2"/>
      <w:r>
        <w:rPr>
          <w:rFonts w:ascii="Times New Roman" w:hAnsi="Times New Roman"/>
          <w:sz w:val="28"/>
          <w:szCs w:val="28"/>
          <w:lang w:eastAsia="ru-RU"/>
        </w:rPr>
        <w:t>(прилагается).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Руководителям отделов и </w:t>
      </w:r>
      <w:r>
        <w:rPr>
          <w:rFonts w:ascii="Times New Roman" w:hAnsi="Times New Roman"/>
          <w:sz w:val="28"/>
          <w:szCs w:val="28"/>
          <w:lang w:eastAsia="ru-RU"/>
        </w:rPr>
        <w:t>структурных подразделений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r>
        <w:rPr>
          <w:rFonts w:ascii="Times New Roman" w:hAnsi="Times New Roman"/>
          <w:sz w:val="28"/>
          <w:szCs w:val="28"/>
          <w:lang w:eastAsia="ru-RU"/>
        </w:rPr>
        <w:t>Савинского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Ивановской области со статусом юридического лица учитывать План основных мероприятий по реализации Стратегии государственной национальной политики Российской Федерации на период до 2036 года в 2026 - 2028 годах на территории </w:t>
      </w:r>
      <w:r>
        <w:rPr>
          <w:rFonts w:ascii="Times New Roman" w:hAnsi="Times New Roman"/>
          <w:sz w:val="28"/>
          <w:szCs w:val="28"/>
          <w:lang w:eastAsia="ru-RU"/>
        </w:rPr>
        <w:t>Савинского</w:t>
      </w:r>
      <w:bookmarkStart w:id="3" w:name="_Hlk225954478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bookmarkEnd w:id="3"/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при планировании муниципальных программ.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Разместить </w:t>
      </w:r>
      <w:r>
        <w:rPr>
          <w:rFonts w:ascii="Times New Roman" w:hAnsi="Times New Roman"/>
          <w:sz w:val="28"/>
          <w:szCs w:val="28"/>
          <w:lang w:eastAsia="ru-RU"/>
        </w:rPr>
        <w:t>настояще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 xml:space="preserve"> постановлени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r>
        <w:rPr>
          <w:rFonts w:ascii="Times New Roman" w:hAnsi="Times New Roman"/>
          <w:sz w:val="28"/>
          <w:szCs w:val="28"/>
          <w:lang w:eastAsia="ru-RU"/>
        </w:rPr>
        <w:t>Савинского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в информационно-телекоммуникационной сети «Интернет».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. Контроль за выполнением настоящего постановления возложить на </w:t>
      </w:r>
      <w:r>
        <w:rPr>
          <w:rFonts w:ascii="Times New Roman" w:hAnsi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 xml:space="preserve">аместителя главы администрации </w:t>
      </w:r>
      <w:r>
        <w:rPr>
          <w:rFonts w:ascii="Times New Roman" w:hAnsi="Times New Roman"/>
          <w:sz w:val="28"/>
          <w:szCs w:val="28"/>
          <w:lang w:eastAsia="ru-RU"/>
        </w:rPr>
        <w:t>Савинского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района, </w:t>
      </w:r>
      <w:r>
        <w:rPr>
          <w:rFonts w:ascii="Times New Roman" w:hAnsi="Times New Roman"/>
          <w:sz w:val="28"/>
          <w:szCs w:val="28"/>
          <w:lang w:eastAsia="ru-RU"/>
        </w:rPr>
        <w:t>руководителя аппарата Низовцева П.П.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>. Настоящее постановление вступает в силу с момента его подписания.</w:t>
      </w:r>
    </w:p>
    <w:p>
      <w:pPr>
        <w:pStyle w:val="Normal"/>
        <w:jc w:val="both"/>
        <w:rPr>
          <w:rFonts w:eastAsia="Times New Roman" w:cs="Times New Roman"/>
          <w:b/>
          <w:kern w:val="0"/>
          <w:szCs w:val="28"/>
          <w:lang w:eastAsia="ru-RU"/>
        </w:rPr>
      </w:pPr>
      <w:r>
        <w:rPr>
          <w:rFonts w:eastAsia="Times New Roman" w:cs="Times New Roman"/>
          <w:b/>
          <w:kern w:val="0"/>
          <w:szCs w:val="28"/>
          <w:lang w:eastAsia="ru-RU"/>
        </w:rPr>
      </w:r>
    </w:p>
    <w:p>
      <w:pPr>
        <w:pStyle w:val="Normal"/>
        <w:jc w:val="both"/>
        <w:rPr>
          <w:rFonts w:eastAsia="Times New Roman" w:cs="Times New Roman"/>
          <w:b/>
          <w:kern w:val="0"/>
          <w:szCs w:val="28"/>
          <w:lang w:eastAsia="ru-RU"/>
        </w:rPr>
      </w:pPr>
      <w:r>
        <w:rPr>
          <w:rFonts w:eastAsia="Times New Roman" w:cs="Times New Roman"/>
          <w:b/>
          <w:kern w:val="0"/>
          <w:szCs w:val="28"/>
          <w:lang w:eastAsia="ru-RU"/>
        </w:rPr>
      </w:r>
    </w:p>
    <w:p>
      <w:pPr>
        <w:pStyle w:val="Normal"/>
        <w:jc w:val="both"/>
        <w:rPr>
          <w:rFonts w:eastAsia="Times New Roman" w:cs="Times New Roman"/>
          <w:b/>
          <w:kern w:val="0"/>
          <w:szCs w:val="28"/>
          <w:lang w:eastAsia="ru-RU"/>
        </w:rPr>
      </w:pPr>
      <w:r>
        <w:rPr>
          <w:rFonts w:eastAsia="Times New Roman" w:cs="Times New Roman"/>
          <w:b/>
          <w:kern w:val="0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709" w:leader="none"/>
          <w:tab w:val="left" w:pos="993" w:leader="none"/>
        </w:tabs>
        <w:jc w:val="both"/>
        <w:rPr>
          <w:rFonts w:eastAsia="Times New Roman" w:cs="Times New Roman"/>
          <w:b/>
          <w:bCs/>
          <w:kern w:val="0"/>
          <w:szCs w:val="28"/>
          <w:lang w:eastAsia="ru-RU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</w:rPr>
        <w:t xml:space="preserve">Глава </w:t>
      </w:r>
      <w:r>
        <w:rPr>
          <w:rFonts w:eastAsia="Times New Roman" w:cs="Times New Roman"/>
          <w:b/>
          <w:bCs/>
          <w:kern w:val="0"/>
          <w:szCs w:val="28"/>
          <w:lang w:eastAsia="ru-RU"/>
        </w:rPr>
        <w:t>Савинского</w:t>
      </w:r>
    </w:p>
    <w:p>
      <w:pPr>
        <w:pStyle w:val="Normal"/>
        <w:widowControl w:val="false"/>
        <w:tabs>
          <w:tab w:val="clear" w:pos="708"/>
          <w:tab w:val="left" w:pos="709" w:leader="none"/>
          <w:tab w:val="left" w:pos="993" w:leader="none"/>
        </w:tabs>
        <w:jc w:val="both"/>
        <w:rPr>
          <w:rFonts w:eastAsia="Times New Roman" w:cs="Times New Roman"/>
          <w:b/>
          <w:bCs/>
          <w:kern w:val="0"/>
          <w:szCs w:val="28"/>
          <w:lang w:eastAsia="ru-RU"/>
        </w:r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701" w:right="851" w:gutter="0" w:header="0" w:top="709" w:footer="0" w:bottom="1134"/>
          <w:pgNumType w:fmt="decimal"/>
          <w:formProt w:val="false"/>
          <w:textDirection w:val="lrTb"/>
          <w:docGrid w:type="default" w:linePitch="381" w:charSpace="0"/>
        </w:sectPr>
      </w:pPr>
      <w:r>
        <w:rPr>
          <w:rFonts w:eastAsia="Times New Roman" w:cs="Times New Roman"/>
          <w:b/>
          <w:bCs/>
          <w:kern w:val="0"/>
          <w:szCs w:val="28"/>
          <w:lang w:eastAsia="ru-RU"/>
        </w:rPr>
        <w:t xml:space="preserve">муниципального района                                 </w:t>
      </w:r>
      <w:r>
        <w:rPr>
          <w:rFonts w:eastAsia="Times New Roman" w:cs="Times New Roman"/>
          <w:b/>
          <w:bCs/>
          <w:kern w:val="0"/>
          <w:szCs w:val="28"/>
          <w:lang w:eastAsia="ru-RU"/>
        </w:rPr>
        <w:t>И.М.Саякина</w:t>
      </w:r>
    </w:p>
    <w:p>
      <w:pPr>
        <w:pStyle w:val="NoSpacing"/>
        <w:ind w:start="109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>Приложение</w:t>
      </w:r>
    </w:p>
    <w:p>
      <w:pPr>
        <w:pStyle w:val="NoSpacing"/>
        <w:ind w:start="109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дминистрации</w:t>
      </w:r>
    </w:p>
    <w:p>
      <w:pPr>
        <w:pStyle w:val="NoSpacing"/>
        <w:ind w:start="109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Савинского</w:t>
      </w:r>
      <w:bookmarkStart w:id="4" w:name="_Hlk225175230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bookmarkEnd w:id="4"/>
    </w:p>
    <w:p>
      <w:pPr>
        <w:pStyle w:val="NoSpacing"/>
        <w:ind w:start="114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.2026 № </w:t>
      </w:r>
      <w:r>
        <w:rPr>
          <w:rFonts w:ascii="Times New Roman" w:hAnsi="Times New Roman"/>
          <w:sz w:val="24"/>
          <w:szCs w:val="24"/>
        </w:rPr>
        <w:t>87-1</w:t>
      </w:r>
      <w:r>
        <w:rPr>
          <w:rFonts w:ascii="Times New Roman" w:hAnsi="Times New Roman"/>
          <w:sz w:val="24"/>
          <w:szCs w:val="24"/>
        </w:rPr>
        <w:t>-п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before="108" w:after="108"/>
        <w:ind w:hanging="0" w:start="0"/>
        <w:jc w:val="center"/>
        <w:outlineLvl w:val="0"/>
        <w:rPr>
          <w:rFonts w:ascii="Times New Roman CYR" w:hAnsi="Times New Roman CYR" w:eastAsia="Times New Roman" w:cs="Times New Roman CYR"/>
          <w:b/>
          <w:bCs/>
          <w:color w:val="26282F"/>
          <w:kern w:val="0"/>
          <w:sz w:val="22"/>
          <w:lang w:eastAsia="ru-RU"/>
        </w:rPr>
      </w:pPr>
      <w:r>
        <w:rPr>
          <w:rFonts w:eastAsia="Times New Roman" w:cs="Times New Roman CYR" w:ascii="Times New Roman CYR" w:hAnsi="Times New Roman CYR"/>
          <w:b/>
          <w:bCs/>
          <w:color w:val="26282F"/>
          <w:kern w:val="0"/>
          <w:sz w:val="22"/>
          <w:lang w:eastAsia="ru-RU"/>
        </w:rPr>
        <w:t xml:space="preserve">План </w:t>
        <w:br/>
        <w:t xml:space="preserve">основных мероприятий по реализации </w:t>
        <w:br/>
        <w:t>Стратегии государственной национальной политики Российской Федерации</w:t>
        <w:br/>
        <w:t xml:space="preserve"> на период до 2036 года в 2026 -2028 годах на территории </w:t>
      </w:r>
      <w:r>
        <w:rPr>
          <w:rFonts w:eastAsia="Times New Roman" w:cs="Times New Roman CYR" w:ascii="Times New Roman CYR" w:hAnsi="Times New Roman CYR"/>
          <w:b/>
          <w:bCs/>
          <w:color w:val="26282F"/>
          <w:kern w:val="0"/>
          <w:sz w:val="22"/>
          <w:lang w:eastAsia="ru-RU"/>
        </w:rPr>
        <w:t>Савинского</w:t>
      </w:r>
      <w:r>
        <w:rPr>
          <w:rFonts w:eastAsia="Times New Roman" w:cs="Times New Roman CYR" w:ascii="Times New Roman CYR" w:hAnsi="Times New Roman CYR"/>
          <w:b/>
          <w:bCs/>
          <w:color w:val="26282F"/>
          <w:kern w:val="0"/>
          <w:sz w:val="22"/>
          <w:lang w:eastAsia="ru-RU"/>
        </w:rPr>
        <w:t xml:space="preserve"> муниципального района Ивановской области.</w:t>
      </w:r>
    </w:p>
    <w:p>
      <w:pPr>
        <w:pStyle w:val="Normal"/>
        <w:widowControl w:val="false"/>
        <w:ind w:firstLine="720"/>
        <w:jc w:val="both"/>
        <w:rPr>
          <w:rFonts w:ascii="Times New Roman CYR" w:hAnsi="Times New Roman CYR" w:eastAsia="Times New Roman" w:cs="Times New Roman CYR"/>
          <w:kern w:val="0"/>
          <w:sz w:val="22"/>
          <w:lang w:eastAsia="ru-RU"/>
        </w:rPr>
      </w:pPr>
      <w:r>
        <w:rPr>
          <w:rFonts w:eastAsia="Times New Roman" w:cs="Times New Roman CYR" w:ascii="Times New Roman CYR" w:hAnsi="Times New Roman CYR"/>
          <w:kern w:val="0"/>
          <w:sz w:val="22"/>
          <w:lang w:eastAsia="ru-RU"/>
        </w:rPr>
      </w:r>
    </w:p>
    <w:tbl>
      <w:tblPr>
        <w:tblW w:w="1562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559"/>
        <w:gridCol w:w="3438"/>
        <w:gridCol w:w="992"/>
        <w:gridCol w:w="1842"/>
        <w:gridCol w:w="1278"/>
        <w:gridCol w:w="3968"/>
        <w:gridCol w:w="1700"/>
        <w:gridCol w:w="1845"/>
      </w:tblGrid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N п/п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Срок</w:t>
            </w:r>
          </w:p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исполнения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Ответственные</w:t>
            </w:r>
          </w:p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исполнители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Источники</w:t>
            </w:r>
          </w:p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финансирования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Задачи Стратегии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Индикаторы (количественные или качественные) для контроля</w:t>
            </w:r>
          </w:p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исполнения мероприятия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Документы,</w:t>
            </w:r>
          </w:p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подтверждающие исполнение</w:t>
            </w:r>
          </w:p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мероприятия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8</w:t>
            </w:r>
          </w:p>
        </w:tc>
      </w:tr>
      <w:tr>
        <w:trPr/>
        <w:tc>
          <w:tcPr>
            <w:tcW w:w="156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ind w:start="59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val="en-US" w:eastAsia="ru-RU"/>
              </w:rPr>
              <w:t>I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. Укрепление общероссийской гражданской идентичности (гражданского самосознания) </w:t>
              <w:br/>
              <w:t>на основе традиционных российских духовно-нравственных и культурно-исторических ценностей</w:t>
            </w:r>
          </w:p>
        </w:tc>
      </w:tr>
      <w:tr>
        <w:trPr/>
        <w:tc>
          <w:tcPr>
            <w:tcW w:w="156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Защита, поддержка и развитие русского языка как государственного языка Российской Федерации, как языка государствообразующего народа и как родного языка, а также продвижение русского языка как языка межнационального общения, в том числе: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1.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Реализация комплекса мероприятий, посвященных Дню родного языка, </w:t>
            </w:r>
            <w:r>
              <w:rPr>
                <w:rFonts w:eastAsia="Times New Roman" w:cs="Times New Roman"/>
                <w:kern w:val="0"/>
                <w:sz w:val="22"/>
                <w:shd w:fill="FFFFFF" w:val="clear"/>
                <w:lang w:eastAsia="ru-RU"/>
              </w:rPr>
              <w:t>Дню славянской письменности и культуры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  <w:p>
            <w:pPr>
              <w:pStyle w:val="Normal"/>
              <w:widowControl w:val="false"/>
              <w:ind w:start="-103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Февраль - май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Отдел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образования, 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координации социальной  сферы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Савинского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муниципального района 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пределах средств местного бюджета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Создание оптимальных условий для использования русского языка и его защиты как государственного языка Российской Федерации, языка межнационального общения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Количество мероприятий, количество участников мероприятий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Внутренняя отчетность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Информация для отчета по </w:t>
            </w:r>
            <w:r>
              <w:rPr>
                <w:rFonts w:eastAsia="Times New Roman" w:cs="Times New Roman"/>
                <w:bCs/>
                <w:kern w:val="0"/>
                <w:sz w:val="22"/>
                <w:lang w:eastAsia="ru-RU"/>
              </w:rPr>
              <w:t xml:space="preserve">Плану мероприятий, направленных на создание условий нормализации межнациональных и межрелигиозных </w:t>
              <w:br/>
              <w:t>отношений на территории Шуйского муниципального района (далее План мероприятий)</w:t>
            </w:r>
            <w:r>
              <w:rPr>
                <w:rFonts w:eastAsia="Times New Roman" w:cs="Times New Roman"/>
                <w:b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Прохождение курсов повышения квалификации учителей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Отдел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образования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Совершенствование преподавания русского языка как государственного языка Российской Федерации и повышение качества владения им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Увеличение доли учителей русского языка и русской литературы, прошедших повышение квалификации 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Внутренняя отчетность</w:t>
            </w:r>
          </w:p>
        </w:tc>
      </w:tr>
      <w:tr>
        <w:trPr/>
        <w:tc>
          <w:tcPr>
            <w:tcW w:w="156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Формирование у детей и молодежи на всех этапах образовательного и воспитательного процессов гражданского самосознания, представлений о единстве многонационального народа Российской Федерации (российской нации), воспитание патриотизма, в том числе: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Участие детей и молодежи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в торжественных мероприятиях, приуроченных к празднованию государственных праздников РФ, памятных дат в истории народов России, а также Ивановской области 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координации социальной сферы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,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Отдел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образования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района,</w:t>
            </w:r>
            <w:r>
              <w:rPr>
                <w:rFonts w:cs="Times New Roman"/>
                <w:sz w:val="22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учреждения культуры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пределах средств местного бюджета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Организация и проведение мероприятий, посвященных государственным праздникам Российской Федерации, памятным датам и памятным дням и формирующих у детей и молодежи чувство общности, принадлежности к истории страны и ее достижениям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Количество мероприятий, количество участников мероприятий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Внутренняя отчетность 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Информация для отчета по </w:t>
            </w:r>
            <w:r>
              <w:rPr>
                <w:rFonts w:eastAsia="Times New Roman" w:cs="Times New Roman"/>
                <w:bCs/>
                <w:kern w:val="0"/>
                <w:sz w:val="22"/>
                <w:lang w:eastAsia="ru-RU"/>
              </w:rPr>
              <w:t xml:space="preserve">Плану мероприятий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4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Содействие посещению учащимися образовательных организаций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памятных мест, городов-героев и городов воинской славы,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Образовательные учреждения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Савинского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муниципального района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Развитие исторического краеведения, организация посещения детьми и молодежью объектов культурного наследия (памятников истории и культуры) народов Российской Федерации, памятных мест, городов-героев, городов воинской славы и трудовой доблести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Количество участников мероприятия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Внутренняя отчетность, Информация для отчета по </w:t>
            </w:r>
            <w:r>
              <w:rPr>
                <w:rFonts w:eastAsia="Times New Roman" w:cs="Times New Roman"/>
                <w:bCs/>
                <w:kern w:val="0"/>
                <w:sz w:val="22"/>
                <w:lang w:eastAsia="ru-RU"/>
              </w:rPr>
              <w:t xml:space="preserve">Плану мероприятий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Обеспечение повышения эффективности взаимодействия дошкольных и общеобразовательных учреждений с родительской общественностью, ветеранскими организациями и иными общественными объединениями, а также привлечение к воспитательному процессу представителей, известных своими достижениями в профессиональной и общественной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Отдел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образования, 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координации социальной сферы 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Савинского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муниципального района, общественные организации 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Создание и развитие проектов, направленных на сближение поколений и передачу традиционных российских духовно-нравственных ценностей от старших поколений младшим, на укрепление гражданского единства, приобщение молодежи к культуре и традициям народов России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Количество проведенных совместных мероприятий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6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Поддержка шефства волонтерских отрядов, образовательных учреждений, общественных организаций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за воинскими захоронениями и мемориалами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Апрель – май 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отдел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образования, 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координации социальной сферы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пределах средств, выделяемых образовательным учреждениям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Создание и развитие проектов, направленных на сближение поколений и передачу традиционных российских духовно-нравственных ценностей от старших поколений младшим, на укрепление гражданского единства, приобщение молодежи к культуре и традициям народов России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Количество мероприятий, количество участников мероприятий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Внутренняя отчетность; 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7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Внедрение мероприятий (акций, классных часов, круглых столов, семинаров, лекций, тренингов) по изучению культурных ценностей и традиций народов Российской Федерации в образовательные программы общеобразовательных организаций,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участие во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всероссийских тематических урок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ах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(акци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ях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), направленных на гражданско-патриотическое воспитание подрастающего поколения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Отдел образования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Создание и развитие проектов, направленных на сближение поколений и передачу традиционных российских духовно-нравственных ценностей от старших поколений младшим, на укрепление гражданского единства, приобщение молодежи к культуре и традициям народов России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Количество мероприятий, количество участников мероприятий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Внутренняя отчетность; 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Проведение мероприятий (классных тематических часов, уроков-мужества, круглых столов, профилактических бесед, конкурсов среди учащихся), направленных на гармонизацию межнациональных отношений и противодействие распространению идеологии экстремизма в молодёжной среде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образования, ответственный секретарь КДН и ЗП, 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координации социальной сферы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района, учреждения культуры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Организация и проведение мероприятий, направленных на противодействие распространению ксенофобии, идеологий нацизма, экстремизма и терроризма среди детей и молодежи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Количество мероприятий, количество участников мероприятий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Внутренняя отчетность; 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Включение в образовательные программы образовательных учреждений района: ОРКСЭ (модуль – Основы религиозных культур и светской этики), ОДНКНР (модуль – основы духовно нравственной культуры народов России)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Отдел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образования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муниципального района 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Включение в образовательные программы, реализуемые организациями, осуществляющими образовательную деятельность, учебных предметов, курсов, дисциплин (модулей) по изучению традиционных российских духовно-нравственных и культурно-исторических ценностей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Охват обучающихся образовательных учреждений 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Внутренняя отчетность; 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156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Сохранение и развитие культуры межнациональных (межэтнических) отношений, защита исторической правды и исторической памяти, традиционных российских духовно-нравственных и культурно-исторических ценностей, в том числе: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10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Проведение торжественных мероприятий, посвященных воспитанию патриотизма граждан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(в том числе: Дню Победы, Дню памяти и скорби, Дню России, Дню российского флага, Дню национального единства, Дню Конституции РФ)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координации социальной сферы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,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Отдел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образования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пределах средств местного бюджета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Количество мероприятий, количество участников мероприятий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11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Реализация мероприятий и проектов гражданско-патриотической тематики, посвященных пропаганде государственной символики, достижениям государства, героям и значимым событиям в новейшей истории страны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координации социальной сферы,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отдел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образования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района, учреждения культуры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В пределах средств местного бюджета, 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Количество мероприятий, количество участников мероприятий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12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Проведение тематических познавательных программ, бесед, уроков мужества, книжно - иллюстрированных выставок для граждан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района, посвященных историческим событиям и датам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координации социальной сферы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района,</w:t>
            </w:r>
            <w:r>
              <w:rPr>
                <w:rFonts w:cs="Times New Roman"/>
                <w:sz w:val="22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учреждения культуры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района,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Центральная библиотека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пределах средств местного бюджета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Популяризация достоверных и научно обоснованных исторических знаний о значимых событиях истории России, включая историю государствообразующего русского народа и других народов России, предупреждение и противодействие фальсификации истории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Количество посетителей и выставок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Внутренняя отчетность; 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156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val="en-US" w:eastAsia="ru-RU"/>
              </w:rPr>
              <w:t>II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. Сохранение и поддержка этнокультурного и языкового многообразия Российской Федерации</w:t>
            </w:r>
          </w:p>
        </w:tc>
      </w:tr>
      <w:tr>
        <w:trPr/>
        <w:tc>
          <w:tcPr>
            <w:tcW w:w="156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2.1. Этнокультурное и духовное развитие народов Российской Федерации, в том числе: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13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Проведение образовательных мероприятий (Всероссийской просветительской акции "Большой этнографический диктант", тематических часов, уроков, круглых столов, профилактических бесед, конкурсов среди учащихся), направленных на воспитание уважения к российской истории и культуре, мировым культурным ценностям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Отдел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образования, 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координации социальной сферы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района, учреждения культуры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Совершенствование системы обучения в организациях, осуществляющих образовательную деятельность, в целях сохранения и развития этнокультурного и языкового многообразия Российской Федерации наряду с воспитанием уважения к российской истории и культуре, мировым культурным ценностям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Охват обучающихся образовательных учреждений 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Внутренняя отчетность; 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14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Реализация комплекса мер по поддержке и развитию туризма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июль - август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координации социальной сферы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пределах средств местного бюджета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Популяризация и распространение произведений литературы и искусства народов Российской Федерации, организация и поддержка проведения художественных выставок, фестивалей, конкурсов, гастролей творческих коллективов и других мероприятий в области культуры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Количество участников мероприятия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15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Организация ярмарок, выставок, направленных на популяризацию народных художественных промыслов, декоративно-прикладного творчества, содействие развитию народных промыслов и ремесел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координации социальной сферы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района,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учреждения культуры Шуйского муниципального района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пределах средств местного бюджета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Популяризация и распространение произведений литературы и искусства народов Российской Федерации, организация и поддержка проведения художественных выставок, фестивалей, конкурсов, гастролей творческих коллективов и других мероприятий в области культуры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Количество посетителей выставок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Внутренняя отчетность;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16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Создание в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Савинском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муниципальном районе благоприятных условий для формирования и продвижения туристских маршрутов и экскурсионных программ, включающих в себя в том числе посещение музе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я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, исторических поселений, живописных мест, старинных деревень и других достопримечательностей района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координации социальной сферы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Формирование и продвижение туристских маршрутов (национального, регионального и местного уровней) и экскурсионных программ в целях популяризации этнокультурного многообразия России, включающих в себя посещение музеев и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Динамика количества проведенных мероприятий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Внутренняя отчетность;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156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2.2. Укрепление объединяющей роли русского народа как государствообразующего народа, в том числе: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17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Сохранение историко-культурных традиций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май - июнь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координации социальной сферы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района, учреждения культуры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района,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МКУ «ЦКО и НТ»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Обеспечение благоприятных условий для сохранения и развития культуры русского народа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Динамика увеличения количества принявших участие в реализуемых мероприятиях на территории района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Информация в СМИ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18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Проведение мероприятий, направленных на сохранение и развитие культуры русского народа (в соответствии с планом культурных мероприятий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района) *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2026-2028 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координации социальной сферы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пределах средств местного бюджета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Проведение фестивалей, конкурсов, выставок, ярмарок, праздников, организация творческих лабораторий, форумов и иных мероприятий, направленных на сохранение и развитие культуры русского народа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Динамика увеличения количества мероприятий и участников мероприятий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156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val="en-US" w:eastAsia="ru-RU"/>
              </w:rPr>
              <w:t>III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. Обеспечение межнационального (межэтнического) и межрелигиозного согласия, противодействие экстремизму и возникновению конфликтов на национальной (этнической) и (или) религиозной почве</w:t>
            </w:r>
          </w:p>
        </w:tc>
      </w:tr>
      <w:tr>
        <w:trPr/>
        <w:tc>
          <w:tcPr>
            <w:tcW w:w="156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3.1. Профилактика и предупреждение конфликтов на национальной (этнической) и (или) религиозной почве, обеспечение равноправия граждан, в том числе: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19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Мониторинг обращений граждан, поступающих в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дминистрацию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о фактах нарушений принципа равноправия граждан, в том числе по признаку расовой, национальной, языковой или религиозной принадлежности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на постоянной основе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Административно-организационное управление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администрации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Недопущение дискриминации по признаку расовой, национальной, языковой или религиозной принадлежности при осуществлении органами публичной власти своей деятельности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Наличие (отсутствие) фактов нарушения принципа равноправия граждан Российской Федерации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Обеспечение равенства прав и свобод гражданин независимо от расы, национальной принадлежности, языка, отношения к религии при приеме на работу, замещении должностей муниципальной службы, формировании кадрового резерва на муниципальном уровне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на постоянной основе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Административно-организационное управление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администрации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Обеспечение равенства прав и свобод человека и гражданина независимо от расы, национальной принадлежности, языка, отношения к религии при приеме на работу, замещении должностей государственной и муниципальной службы, формировании кадрового резерва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Наличие (отсутствие) фактов нарушения принципа равноправия граждан Российской Федерации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Внутренняя отчетность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21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Организация взаимодействия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района, МО МВД России «Шуйский», администраций поселений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района, национальных и религиозных общественных организаций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для предотвращения возникновения конфликтных ситуаций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Администрация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</w:t>
            </w:r>
            <w:r>
              <w:rPr>
                <w:rFonts w:eastAsia="Calibri" w:cs="Times New Roman"/>
                <w:kern w:val="0"/>
                <w:sz w:val="22"/>
              </w:rPr>
              <w:t>,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МО МВД России «Шуйский», Главы поселений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Повышение эффективности межведомственного взаимодействия по вопросам реагирования на угрозы в сфере межнациональных (межэтнических) и межконфессиональных отношений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Динамика числа выявленных конфликтов в сфере межнациональных отношений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22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Обеспечение проведения оперативно-профилактических мероприятий с целью недопущения проникновения на территорию </w:t>
            </w:r>
            <w:r>
              <w:rPr>
                <w:rFonts w:eastAsia="Calibri" w:cs="Times New Roman"/>
                <w:kern w:val="0"/>
                <w:sz w:val="22"/>
              </w:rPr>
              <w:t>Шуйского муниципального района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экстремистских организаций, недопущение распространения печатной продукции, фото, аудио и видеоматериалов, направленных на пропаганду национальной и религиозной розни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МО МВД России «Шуйский»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Защита российского общества от внешней идейно-ценностной экспансии и внешнего деструктивного информационно-психологического воздействия, недопущение распространения продукции экстремистского содержания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Динамика числа выявленных конфликтов в сфере межнациональных отношений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23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Проведение образовательных просветительских мероприятий (тематических часов, уроков, круглых столов, профилактических бесед, конкурсов среди учащихся), направленных на предупреждение экстремистских, в том числе сепаратистских, проявлений, распространения религиозного, национального радикализма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образования, 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координации социальной сферы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района, учреждения культуры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муниципального района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Проведение просветительских мероприятий, направленных на предупреждение экстремистских, в том числе сепаратистских, проявлений, распространения религиозного, национального радикализма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Количество участников мероприятий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24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Использование данных государственной системы </w:t>
            </w:r>
            <w:bookmarkStart w:id="5" w:name="_Hlk177715686"/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мониторинга межнациональных и межконфессиональных отношений</w:t>
            </w:r>
            <w:bookmarkEnd w:id="5"/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в целях профилактики и предупреждения конфликтов на национальной (этнической) и (или) религиозной почве на территории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Calibri" w:cs="Times New Roman"/>
                <w:kern w:val="0"/>
                <w:sz w:val="22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Администрация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Совершенствование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Динамика числа выявленных конфликтов в сфере межнациональных отношений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156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3.2. Совершенствование механизмов содействия адаптации иностранных граждан к условиям жизни в российском обществе, в том числе: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25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В рамках мер, направленных на социальную и культурную адаптацию и интеграцию мигрантов при наличии официального статуса на территории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обеспечение доступа в т.ч. к образованию, здравоохранению, к изучению русского языка, других элементов культуры при возможности сохранения своей культуры, религии, обычаев 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Отдел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образования, 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координации социальной сферы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района, учреждения культуры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Создание для адаптации в Российской Федерации иностранных граждан, в том числе их несовершеннолетних детей, условий, способствующих успешному освоению ими русского языка, усвоению ими общепризнанных в российском обществе норм поведения (правил общежития, отправления религиозных обрядов) с учетом социальных, исторических и национально-культурных особенностей субъектов Российской Федерации, формированию у них присущих российскому обществу правосознания и правовой культуры, приобщению их к традиционным российским духовно-нравственным ценностям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Количество участников мероприятий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26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Привлечение национальных и религиозных общественных организаций, к подготовке и участию в торжественных мероприятиях, посвященных государственным праздникам Российской Федерации, памятных дат в истории народов России, а также Ивановской области 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2026-2028 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соответствии с календарем праздников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координации социальной сферы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Создание для адаптации в Российской Федерации иностранных граждан, в том числе их несовершеннолетних детей, условий, способствующих успешному освоению ими русского языка, усвоению ими общепризнанных в российском обществе норм поведения (правил общежития, отправления религиозных обрядов) с учетом социальных, исторических и национально-культурных особенностей субъектов Российской Федерации, формированию у них присущих российскому обществу правосознания и правовой культуры, приобщению их к традиционным российским духовно-нравственным ценностям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Количество участников мероприятий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27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Анализ миграционной ситуации на территории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 муниципального района,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выявления факторов, способных оказать негативное влияние на общественно политическую обстановку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МО МВД России «Шуйский»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Совершенствование взаимодействия между всеми субъектами, оказывающими содействие адаптации иностранных граждан в Российской Федерации, - органами публичной власти, институтами гражданского общества и работодателями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Динамика числа выявленных конфликтов в сфере межнациональных отношений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28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Изучение и использование методических, консультационных материалов, рекомендаций, разработанных Федеральным агентством по делам национальностей РФ, направление указанных материалов работодателям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Комитет по экономике и предпринимательству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Совершенствование взаимодействия между всеми субъектами, оказывающими содействие адаптации иностранных граждан в Российской Федерации, - органами публичной власти, институтами гражданского общества и работодателями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Информация для отчета по Плану мероприятий (ежегодно до 31 декабря отчетного года)</w:t>
            </w:r>
          </w:p>
        </w:tc>
      </w:tr>
      <w:tr>
        <w:trPr/>
        <w:tc>
          <w:tcPr>
            <w:tcW w:w="156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val="en-US" w:eastAsia="ru-RU"/>
              </w:rPr>
              <w:t>IV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. Совершенствование государственного управления и обеспечение социально-экономических условий для реализации государственной национальной политики, в том числе: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29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Разработка муниципальных планов основных мероприятий по реализации Стратегии государственной национальной политики Российской Федерации на период до 2036 года на 2026-2028 годы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I квартал 2026 года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Заместитель главы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района, курирующий данное направление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Совершенствование взаимодействия органов публичной власти с институтами гражданского общества, создание организационно-правовых и экономических условий для их участия в решении задач государственной национальной политики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Размещение информации на </w:t>
            </w:r>
            <w:hyperlink r:id="rId6">
              <w:r>
                <w:rPr>
                  <w:rStyle w:val="Style9"/>
                  <w:rFonts w:eastAsia="Times New Roman" w:cs="Times New Roman"/>
                  <w:kern w:val="0"/>
                  <w:sz w:val="22"/>
                  <w:lang w:eastAsia="ru-RU"/>
                </w:rPr>
                <w:t>официальном сайте</w:t>
              </w:r>
            </w:hyperlink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МО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30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Проведение заседаний антитеррористической комиссии по вопросам противодействия идеологии терроризма и экстремизма на национальной и религиозной основе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  <w:p>
            <w:pPr>
              <w:pStyle w:val="Normal"/>
              <w:widowControl w:val="false"/>
              <w:ind w:firstLine="39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(в соответствии с планом заседаний комиссии)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Секретарь антитеррористической комиссии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Совершенствование взаимодействия органов публичной власти с институтами гражданского общества, создание организационно-правовых и экономических условий для их участия в решении задач государственной национальной политики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Создание условий для реализации мер, направленных на предупреждение экстремистских, в том числе сепаратистских, проявлений, распространения религиозного, национального радикализма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Внутренняя отчетность,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Отчет в Правительство Ивановской области (полугодовой, годовой)</w:t>
            </w:r>
          </w:p>
        </w:tc>
      </w:tr>
      <w:tr>
        <w:trPr/>
        <w:tc>
          <w:tcPr>
            <w:tcW w:w="5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31</w:t>
            </w:r>
          </w:p>
        </w:tc>
        <w:tc>
          <w:tcPr>
            <w:tcW w:w="34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Проведение заседаний межведомственной комиссии по профилактике правонарушений по вопросам миграционной политики</w:t>
            </w:r>
          </w:p>
        </w:tc>
        <w:tc>
          <w:tcPr>
            <w:tcW w:w="9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2026-2028</w:t>
            </w:r>
          </w:p>
          <w:p>
            <w:pPr>
              <w:pStyle w:val="Normal"/>
              <w:widowControl w:val="false"/>
              <w:ind w:firstLine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планом заседаний комиссии)</w:t>
            </w:r>
          </w:p>
        </w:tc>
        <w:tc>
          <w:tcPr>
            <w:tcW w:w="184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Секретарь </w:t>
            </w:r>
            <w:r>
              <w:rPr>
                <w:sz w:val="24"/>
                <w:szCs w:val="24"/>
              </w:rPr>
              <w:t>межведомственной</w:t>
            </w:r>
            <w:r>
              <w:rPr>
                <w:sz w:val="24"/>
                <w:szCs w:val="24"/>
              </w:rPr>
              <w:t xml:space="preserve"> комиссии </w:t>
            </w:r>
            <w:r>
              <w:rPr>
                <w:sz w:val="24"/>
                <w:szCs w:val="24"/>
              </w:rPr>
              <w:t>по профилактике правонарушений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Савинского</w:t>
            </w:r>
            <w:r>
              <w:rPr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127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административных мероприятий</w:t>
            </w:r>
          </w:p>
        </w:tc>
        <w:tc>
          <w:tcPr>
            <w:tcW w:w="39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взаимодействия органов публичной власти с институтами гражданского общества, создание организационно-правовых и экономических условий для их участия в решении задач государственной национальной политики</w:t>
            </w:r>
          </w:p>
        </w:tc>
        <w:tc>
          <w:tcPr>
            <w:tcW w:w="17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оздание условий для реализации мер, направленных на предупреждение экстремистских, в том числе сепаратистских, проявлений, распространения религиозного, национального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радикализма</w:t>
            </w:r>
          </w:p>
        </w:tc>
        <w:tc>
          <w:tcPr>
            <w:tcW w:w="18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Внутренняя отчетность,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/>
              <w:t>Отчет в Правительство Ивановской области (полугодовой, годовой)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Реализация комплекса мер для участия в обучающих мероприятиях муниципальных служащих и работников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 по вопросам реализации государственной национальной политики в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Административно-организационное управление,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заместитель главы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района, курирующий данное направление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пределах средств местного бюджета</w:t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Обеспечение условий для профессионального развития государственных и муниципальных служащих на основе типовых дополнительных профессиональных программ в сфере государственной национальной политики и межкультурной коммуникации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Количество муниципальных служащих, служащих, прошедших обучение (повышение квалификации, переподготовку)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Внутренняя отчетность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</w:r>
          </w:p>
        </w:tc>
      </w:tr>
      <w:tr>
        <w:trPr/>
        <w:tc>
          <w:tcPr>
            <w:tcW w:w="1562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val="en-US" w:eastAsia="ru-RU"/>
              </w:rPr>
              <w:t>V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. Информационное обеспечение реализации государственной национальной политики, в том числе: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Размещение информационных материалов в средствах массовой информации и информационно-телекоммуникационной сети Интернет, посвященных вопросам межнациональных отношений, сохранения и защиты самобытности, культуры, языков и традиций народов Российской Федерации, профилактики национального и религиозного экстремизма, проводимых на территории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2026-2028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(по мере проведения мероприятий)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координации социальной сферы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,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Отдел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образования,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администпративно-организационное управление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а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дминистрации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района, учреждения культуры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Савинского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муниципального района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 рамках административных мероприятий</w:t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highlight w:val="red"/>
                <w:lang w:eastAsia="ru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Использование возможностей средств массовой информации, ресурсов сети "Интернет", в том числе социальных сетей, видеохостингов, мессенджеров и блогов, для создания и продвижения социально значимого контента, направленного на укрепление гражданского единства, гармонизацию межнациональных (межэтнических) отношений, на популяризацию культуры народов Российской Федерации, традиционных российских духовно-нравственных и культурно-исторических ценностей и приобщение к ним молодежи, на противодействие пропаганде идеологии экстремизма и защиту от внешнего деструктивного информационно-психологического воздействия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Количество публикаций</w:t>
            </w:r>
          </w:p>
        </w:tc>
        <w:tc>
          <w:tcPr>
            <w:tcW w:w="1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Размещение информации на официальном сайте МО, официальных сайтах подведомственных учреждений, соц. сетях, СМИ</w:t>
            </w:r>
          </w:p>
        </w:tc>
      </w:tr>
    </w:tbl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footerReference w:type="even" r:id="rId7"/>
      <w:footerReference w:type="default" r:id="rId8"/>
      <w:footerReference w:type="first" r:id="rId9"/>
      <w:type w:val="nextPage"/>
      <w:pgSz w:orient="landscape" w:w="16838" w:h="11906"/>
      <w:pgMar w:left="426" w:right="1134" w:gutter="0" w:header="0" w:top="1418" w:footer="709" w:bottom="76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Calibri">
    <w:charset w:val="cc" w:characterSet="windows-1251"/>
    <w:family w:val="swiss"/>
    <w:pitch w:val="variable"/>
  </w:font>
  <w:font w:name="Times New Roman CYR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ind w:firstLine="360" w:end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ind w:firstLine="360" w:end="360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ind w:firstLine="360" w:end="360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ind w:firstLine="360" w:end="36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419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838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897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316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1375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1794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1853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2272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kern w:val="2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1518f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Calibri" w:cs="" w:cstheme="minorBidi" w:eastAsiaTheme="minorHAnsi"/>
      <w:color w:val="auto"/>
      <w:kern w:val="2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ижний колонтитул Знак"/>
    <w:basedOn w:val="DefaultParagraphFont"/>
    <w:uiPriority w:val="99"/>
    <w:qFormat/>
    <w:rsid w:val="00ab13a5"/>
    <w:rPr>
      <w:rFonts w:eastAsia="Times New Roman" w:cs="Times New Roman"/>
      <w:kern w:val="0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01655b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1655b"/>
    <w:rPr>
      <w:color w:val="605E5C"/>
      <w:shd w:fill="E1DFDD" w:val="clear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1109b7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>
    <w:name w:val="Колонтитулы (user)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Footer">
    <w:name w:val="footer"/>
    <w:basedOn w:val="Normal"/>
    <w:link w:val="Style14"/>
    <w:uiPriority w:val="99"/>
    <w:rsid w:val="00ab13a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kern w:val="0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390e47"/>
    <w:pPr>
      <w:spacing w:before="0" w:after="0"/>
      <w:ind w:start="720"/>
      <w:contextualSpacing/>
    </w:pPr>
    <w:rPr/>
  </w:style>
  <w:style w:type="paragraph" w:styleId="NoSpacing">
    <w:name w:val="No Spacing"/>
    <w:uiPriority w:val="1"/>
    <w:qFormat/>
    <w:rsid w:val="00ac0575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 w:eastAsiaTheme="minorHAnsi"/>
      <w:color w:val="auto"/>
      <w:kern w:val="0"/>
      <w:sz w:val="22"/>
      <w:szCs w:val="22"/>
      <w:lang w:val="ru-RU" w:eastAsia="en-US" w:bidi="ar-SA"/>
    </w:rPr>
  </w:style>
  <w:style w:type="paragraph" w:styleId="Header">
    <w:name w:val="header"/>
    <w:basedOn w:val="Normal"/>
    <w:link w:val="Style15"/>
    <w:uiPriority w:val="99"/>
    <w:unhideWhenUsed/>
    <w:rsid w:val="001109b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094352"/>
    <w:pPr>
      <w:spacing w:beforeAutospacing="1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99"/>
    <w:rsid w:val="009912f1"/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hyperlink" Target="https://internet.garant.ru/document/redirect/16327281/0" TargetMode="Externa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Application>LibreOffice/25.8.5.2$Windows_X86_64 LibreOffice_project/9c8b85f387cc00a89945a79c9e6239f32e450ac2</Application>
  <AppVersion>15.0000</AppVersion>
  <Pages>14</Pages>
  <Words>3306</Words>
  <Characters>26766</Characters>
  <CharactersWithSpaces>29821</CharactersWithSpaces>
  <Paragraphs>342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2026-04-01T13:35:00Z</dcterms:created>
  <dc:creator>АШМР</dc:creator>
  <dc:description/>
  <dc:language>ru-RU</dc:language>
  <cp:lastModifiedBy/>
  <cp:lastPrinted>2026-04-06T15:22:25Z</cp:lastPrinted>
  <dcterms:modified xsi:type="dcterms:W3CDTF">2026-04-06T16:54:59Z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